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00"/>
        </w:tabs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Datum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28.01.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2025</w:t>
      </w:r>
    </w:p>
    <w:p w:rsidR="00000000" w:rsidDel="00000000" w:rsidP="00000000" w:rsidRDefault="00000000" w:rsidRPr="00000000" w14:paraId="00000002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POZIV ZA DOSTAVLJANJE PONUDA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(ponovljeni pozi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RFQ Nº UNFPA/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BIH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/RFQ/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001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Poštovani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objavljuje poziv za dostavljanje ponuda za: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"Osiguravanje pristupa higijenskim artiklima za žene i djevojke pogođene poplavama u Jablanici i Konjicu – Nabavka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vaučera za higijenske artikle"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UNFPA</w:t>
      </w:r>
    </w:p>
    <w:p w:rsidR="00000000" w:rsidDel="00000000" w:rsidP="00000000" w:rsidRDefault="00000000" w:rsidRPr="00000000" w14:paraId="0000000F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UNFPA, Populacijski fond Ujedinjenih nacija, agencija je Ujedinjenih nacija koja radi na stvaranju svijeta u kojem je svaka trudnoća željena, svako rađanje sigurno i potencijal svake mlade osobe ispunjen.</w:t>
      </w:r>
    </w:p>
    <w:p w:rsidR="00000000" w:rsidDel="00000000" w:rsidP="00000000" w:rsidRDefault="00000000" w:rsidRPr="00000000" w14:paraId="00000010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je vodeća agencija UN-a koja se zalaže za prava žena, djevojčica i mladih na zdrav seksualni i reproduktivni život. Za više informacija o UNFPA-i vidi: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0070c0"/>
            <w:sz w:val="22"/>
            <w:szCs w:val="22"/>
            <w:u w:val="single"/>
            <w:rtl w:val="0"/>
          </w:rPr>
          <w:t xml:space="preserve">UNFPA about 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360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Specifikacija</w:t>
      </w:r>
    </w:p>
    <w:p w:rsidR="00000000" w:rsidDel="00000000" w:rsidP="00000000" w:rsidRDefault="00000000" w:rsidRPr="00000000" w14:paraId="00000015">
      <w:pPr>
        <w:ind w:left="36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t2ym59b1b8l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je vodeća agencija UN-a za stvaranje svijeta u kojem je svaka trudnoća željena, svaki porod siguran, a potencijal svakog mladog čovjeka ispunjen. Strateški plan UNFPA (2022-2025) fokusira se na tri transformativna rezultata: okončanje spriječivih smrtnih slučajeva majki; okončanje neispunjenih potreba za planiranjem porodice; i okončanje rodno-zasnovanog nasilja i štetnih praksi. </w:t>
      </w:r>
    </w:p>
    <w:p w:rsidR="00000000" w:rsidDel="00000000" w:rsidP="00000000" w:rsidRDefault="00000000" w:rsidRPr="00000000" w14:paraId="00000017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je izdao smjernice o novčanoj i vaučerskoj pomoći (CVA) 2021. godine i počeo uvoditi CVA u programske aktivnosti. Kako bi promovirala kvalitetnu CVA, UNFPA je jedinstveno pozicionirana kao operativna UN agencija koja blisko surađuje s lokalnim i nacionalnim partnerima te kao vodeća organizacija za koordinaciju radnih grupa u oblasti rodno-zasnovanog nasilja (RZN). </w:t>
      </w:r>
    </w:p>
    <w:p w:rsidR="00000000" w:rsidDel="00000000" w:rsidP="00000000" w:rsidRDefault="00000000" w:rsidRPr="00000000" w14:paraId="00000019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u Bosni i Hercegovini će integrirati  vaučere za higijenske artikle u svoj program prevencije i odgovora na RZN za potrebe žena i djevojaka pogođenih poplavama i klizištima u oktobru 2024. godine u Jablanici i Konjicu, podržavajući njihova prava, sigurnost i dostojanstvo. Da bi se učinkovito postigli ovi ciljevi, ključna je suradnja s dobavljačem koji je u mogućnosti obezbijediti vaučere za higijenske artikle. Ovo partnerstvo osigurat će sigurno i učinkovito pružanje vaučera za higijenske artikle, omogućujući UNFPA Bosna i Hercegovina da optimizira upravljanje resursima dok zadovoljava hitne potrebe ciljnih populacija.</w:t>
      </w:r>
    </w:p>
    <w:p w:rsidR="00000000" w:rsidDel="00000000" w:rsidP="00000000" w:rsidRDefault="00000000" w:rsidRPr="00000000" w14:paraId="0000001B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Svrha</w:t>
      </w:r>
    </w:p>
    <w:p w:rsidR="00000000" w:rsidDel="00000000" w:rsidP="00000000" w:rsidRDefault="00000000" w:rsidRPr="00000000" w14:paraId="0000001D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Svrha ove specifikacije je angažirati firmu koja će obezbijediti vaučere (prepaid kartice) za higijenske artikle. Firma će omogućiti sigurno, pouzdano i dostupno rješenje za prepaid kartice, koje će funkcionirati kao vaučeri ograničeni na specifične kategorije proizvoda. Firma će obezbijediti prepaid kartice, ali uz ograničenja u pogledu kupovine u cilju usklađenosti s programskim zahtjevima UNFPA. Ove prepaid kartice će djelovati kao vaučeri, ograničavajući potrošnju na unaprijed definirane kategorije proizvoda. Kartice će biti unaprijed naplaćene; međutim, moći će se koristiti samo za određene kategorije proizvoda, čime će se osigurati usklađenost s ciljevima programa.</w:t>
      </w:r>
    </w:p>
    <w:p w:rsidR="00000000" w:rsidDel="00000000" w:rsidP="00000000" w:rsidRDefault="00000000" w:rsidRPr="00000000" w14:paraId="0000001E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Cilj</w:t>
      </w:r>
    </w:p>
    <w:p w:rsidR="00000000" w:rsidDel="00000000" w:rsidP="00000000" w:rsidRDefault="00000000" w:rsidRPr="00000000" w14:paraId="00000020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Odabrani ponuđač treba da dostavi sljedeće:</w:t>
      </w:r>
    </w:p>
    <w:p w:rsidR="00000000" w:rsidDel="00000000" w:rsidP="00000000" w:rsidRDefault="00000000" w:rsidRPr="00000000" w14:paraId="00000021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Do 1800 vaučera (prepaid kartica) s vrijednošću od 25 BAM bez PDV-a po vaučeru (900 vaučera za Jablanicu i 900 vaučera za Konjic). Mogućnost korekcije vrijednosti vaučera i ukupnog broja vaučera nakon konačne evaluacije ponuda je prednost.</w:t>
      </w:r>
    </w:p>
    <w:p w:rsidR="00000000" w:rsidDel="00000000" w:rsidP="00000000" w:rsidRDefault="00000000" w:rsidRPr="00000000" w14:paraId="00000023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Vaučeri trebaju omogućiti nesmetan izbor artikala unutar kategorija higijenskih proizvoda i proizvoda za ličnu njegu, uz eksplicitnu zabranu za hranu, alkohol i cigarete.</w:t>
      </w:r>
    </w:p>
    <w:p w:rsidR="00000000" w:rsidDel="00000000" w:rsidP="00000000" w:rsidRDefault="00000000" w:rsidRPr="00000000" w14:paraId="00000024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Vaučeri moraju biti iskoristivi isključivo za proizvode za ličnu njegu i higijenu za žene i djevojke.</w:t>
      </w:r>
    </w:p>
    <w:p w:rsidR="00000000" w:rsidDel="00000000" w:rsidP="00000000" w:rsidRDefault="00000000" w:rsidRPr="00000000" w14:paraId="00000025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Tokom realizacije, vaučer se može koristiti više puta dok se iznos ne potroši, sve u dogovoru s ponuđačem, tj. nije potrebno iskoristiti cijeli iznos vaučera odjednom.</w:t>
      </w:r>
    </w:p>
    <w:p w:rsidR="00000000" w:rsidDel="00000000" w:rsidP="00000000" w:rsidRDefault="00000000" w:rsidRPr="00000000" w14:paraId="00000026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Mogućnost da se iznos vaučera može kombinirati s dodatnim sredstvima korisnika vaučera, ukoliko je potrebno, je prednost.</w:t>
      </w:r>
    </w:p>
    <w:p w:rsidR="00000000" w:rsidDel="00000000" w:rsidP="00000000" w:rsidRDefault="00000000" w:rsidRPr="00000000" w14:paraId="00000027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Ponuđač mora pružiti informacije o trajanju važenja vaučera.</w:t>
      </w:r>
    </w:p>
    <w:p w:rsidR="00000000" w:rsidDel="00000000" w:rsidP="00000000" w:rsidRDefault="00000000" w:rsidRPr="00000000" w14:paraId="00000028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Prisutnost maloprodajnih objekata je obavezna u najmanje jednoj od dvije općine, Jablanica i/ili Konjic, ili obje. Ponuđač mora imati uspostavljene maloprodajne objekte u ciljnim općinama (Jablanica i Konjic), po mogućnosti na obje lokacije.</w:t>
      </w:r>
    </w:p>
    <w:p w:rsidR="00000000" w:rsidDel="00000000" w:rsidP="00000000" w:rsidRDefault="00000000" w:rsidRPr="00000000" w14:paraId="00000029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Bilo bi poželjno da ponuđač može osigurati mogućnost aktivacije vaučera na zahtjev UNFPA-a, u skladu s dogovorenim rasporedom i zahtjevima.</w:t>
      </w:r>
    </w:p>
    <w:p w:rsidR="00000000" w:rsidDel="00000000" w:rsidP="00000000" w:rsidRDefault="00000000" w:rsidRPr="00000000" w14:paraId="0000002A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Od odabranog subjekta se očekuje da dostavi vaučere u UNFPA BiH ured u Sarajevu.</w:t>
      </w:r>
    </w:p>
    <w:p w:rsidR="00000000" w:rsidDel="00000000" w:rsidP="00000000" w:rsidRDefault="00000000" w:rsidRPr="00000000" w14:paraId="0000002B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• Ponuđač mora pružiti informacije da njihovi prodajni objekti imaju na zalihi sljedeće proizvode (molimo da ne navodite cijene ovih pojedinačnih artikala):</w:t>
      </w:r>
    </w:p>
    <w:p w:rsidR="00000000" w:rsidDel="00000000" w:rsidP="00000000" w:rsidRDefault="00000000" w:rsidRPr="00000000" w14:paraId="0000002C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Higijenski ulošci, pamuk/normalni, 10/1, s krilcima ili slični;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Intimne vlažne maramice;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Sapun;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Šampon;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Dezodorans;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Četkica za zube;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Pasta za zube;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Jednokratni brijač;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Deterdžent za pranje rublja;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Češalj za kosu;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Ostali osnovni higijenski artikli za žene i djevojke.</w:t>
      </w:r>
    </w:p>
    <w:p w:rsidR="00000000" w:rsidDel="00000000" w:rsidP="00000000" w:rsidRDefault="00000000" w:rsidRPr="00000000" w14:paraId="00000038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Rok za dostavu voučera: Vaučeri trebaju biti dostavljeni u Ured UNFPA u Sarajevu najkasnije do kraja februara 2025. godine.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Pitanja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Pitanja ili zahtjeve za dodatna pojašnjenja potrebno je dostaviti u pisanom obliku niže navedenoj kontakt osobi: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center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6" w:val="single"/>
          <w:insideV w:color="d9d9d9" w:space="0" w:sz="6" w:val="single"/>
        </w:tblBorders>
        <w:tblLayout w:type="fixed"/>
        <w:tblLook w:val="0400"/>
      </w:tblPr>
      <w:tblGrid>
        <w:gridCol w:w="3510"/>
        <w:gridCol w:w="5430"/>
        <w:tblGridChange w:id="0">
          <w:tblGrid>
            <w:gridCol w:w="3510"/>
            <w:gridCol w:w="5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Ime i prezime kontakt osobe ispred UNFPA: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jc w:val="both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Amir Redžić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Tel Nº: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jc w:val="both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+386 </w:t>
            </w:r>
            <w:r w:rsidDel="00000000" w:rsidR="00000000" w:rsidRPr="00000000">
              <w:rPr>
                <w:i w:val="1"/>
                <w:rtl w:val="0"/>
              </w:rPr>
              <w:t xml:space="preserve">62 409 365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E-mail adresa kontakt osobe: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jc w:val="both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redzic@unfpa.org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20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6630"/>
          <w:tab w:val="left" w:leader="none" w:pos="91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Rok za dostavljanje pitanja je 03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februara 2025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17:00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Odgovori na pitanja će biti dostavljeni u pisanom obliku, na adrese svih strana, što je prije moguće.</w:t>
      </w:r>
    </w:p>
    <w:p w:rsidR="00000000" w:rsidDel="00000000" w:rsidP="00000000" w:rsidRDefault="00000000" w:rsidRPr="00000000" w14:paraId="00000046">
      <w:pPr>
        <w:tabs>
          <w:tab w:val="left" w:leader="none" w:pos="6630"/>
          <w:tab w:val="left" w:leader="none" w:pos="91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630"/>
          <w:tab w:val="left" w:leader="none" w:pos="91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360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Prihvatljivi ponuđači</w:t>
      </w:r>
    </w:p>
    <w:p w:rsidR="00000000" w:rsidDel="00000000" w:rsidP="00000000" w:rsidRDefault="00000000" w:rsidRPr="00000000" w14:paraId="00000049">
      <w:pPr>
        <w:tabs>
          <w:tab w:val="left" w:leader="none" w:pos="6630"/>
          <w:tab w:val="left" w:leader="none" w:pos="912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630"/>
          <w:tab w:val="left" w:leader="none" w:pos="9120"/>
        </w:tabs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Ovaj Zahtjev za ponudu otvoren je za sve prihvatljive ponuđače; da biste bili smatrani prihvatljivim ponuđačem u ovom postupku nabavke, morate ispunjavati sljedeće uslove: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tabs>
          <w:tab w:val="left" w:leader="none" w:pos="6630"/>
          <w:tab w:val="left" w:leader="none" w:pos="9120"/>
        </w:tabs>
        <w:spacing w:after="200" w:before="240" w:lineRule="auto"/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Ponuđač mora biti pravno osnovana kompanija koja može pružiti tražene proizvode i koja ima pravnu sposobnost da sklopi ugovor s UNFPA-om za isporuku u zemlji ili putem ovlaštenog predstavnika.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hd w:fill="ffffff" w:val="clear"/>
        <w:tabs>
          <w:tab w:val="left" w:leader="none" w:pos="6630"/>
          <w:tab w:val="left" w:leader="none" w:pos="9120"/>
        </w:tabs>
        <w:spacing w:after="200" w:before="0" w:lineRule="auto"/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Ponuđač ne smije imati sukob interesa u vezi s postupkom nabavke ili specifikacijom. Ponuđači kod kojih se utvrdi sukob interesa bit će diskvalifikovani.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hd w:fill="ffffff" w:val="clear"/>
        <w:tabs>
          <w:tab w:val="left" w:leader="none" w:pos="6630"/>
          <w:tab w:val="left" w:leader="none" w:pos="9120"/>
        </w:tabs>
        <w:spacing w:after="200" w:before="0" w:lineRule="auto"/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 trenutku podnošenja ponude, ponuđač, uključujući bilo kojeg člana zajedničkog ulaganja/konsorcija, ne smije biti pod zabranom učešća u postupcima nabavke koja proizlazi iz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Zbirne liste sankcija Vijeća sigurnosti UN-a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 ne sme biti suspendiran, pod zabranom, sankcionisan ili na drugi način identifikovan kao neprikladan od strane bilo koje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UN organizacije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ili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Grupe Svjetske banke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hd w:fill="ffffff" w:val="clear"/>
        <w:tabs>
          <w:tab w:val="left" w:leader="none" w:pos="6630"/>
          <w:tab w:val="left" w:leader="none" w:pos="9120"/>
        </w:tabs>
        <w:spacing w:after="200" w:before="240" w:lineRule="auto"/>
        <w:ind w:left="144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Ponuđači moraju poštovati Kodeks ponašanja dobavljača UN-a, koji se može pronaći klikom na</w:t>
      </w:r>
      <w:hyperlink r:id="rId11">
        <w:r w:rsidDel="00000000" w:rsidR="00000000" w:rsidRPr="00000000">
          <w:rPr>
            <w:rFonts w:ascii="Calibri" w:cs="Calibri" w:eastAsia="Calibri" w:hAnsi="Calibri"/>
            <w:color w:val="222222"/>
            <w:sz w:val="22"/>
            <w:szCs w:val="22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UN Supplier Code of Conduct</w:t>
        </w:r>
      </w:hyperlink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6630"/>
          <w:tab w:val="left" w:leader="none" w:pos="91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Sadržaj ponuda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Ponude bi se trebale dostaviti u jednom e-mailu kad god je to moguće, u zavisnosti od veličine fajla. Ponude moraju sadržavati:</w:t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spacing w:after="0" w:afterAutospacing="0" w:befor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Tehničku ponudu u skladu sa gore navedenom specifikacijom</w:t>
      </w:r>
    </w:p>
    <w:p w:rsidR="00000000" w:rsidDel="00000000" w:rsidP="00000000" w:rsidRDefault="00000000" w:rsidRPr="00000000" w14:paraId="00000053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Potpisanu izjavu, u prilogu ovog dokumenta</w:t>
      </w:r>
    </w:p>
    <w:p w:rsidR="00000000" w:rsidDel="00000000" w:rsidP="00000000" w:rsidRDefault="00000000" w:rsidRPr="00000000" w14:paraId="00000054">
      <w:pPr>
        <w:numPr>
          <w:ilvl w:val="0"/>
          <w:numId w:val="15"/>
        </w:numPr>
        <w:spacing w:after="240" w:before="0" w:before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Cjenovnu ponudu, u prilogu ovog dokumenta</w:t>
      </w:r>
    </w:p>
    <w:p w:rsidR="00000000" w:rsidDel="00000000" w:rsidP="00000000" w:rsidRDefault="00000000" w:rsidRPr="00000000" w14:paraId="00000055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Svi dijelovi ponude moraju biti potpisani od strane ovlaštene osobe ispred ponuđača i moraju biti dostavljeni u PDF formatu.</w:t>
      </w:r>
    </w:p>
    <w:p w:rsidR="00000000" w:rsidDel="00000000" w:rsidP="00000000" w:rsidRDefault="00000000" w:rsidRPr="00000000" w14:paraId="00000056">
      <w:pPr>
        <w:tabs>
          <w:tab w:val="left" w:leader="none" w:pos="6630"/>
          <w:tab w:val="left" w:leader="none" w:pos="912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6630"/>
          <w:tab w:val="left" w:leader="none" w:pos="912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Upute za dostavljanje ponuda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Ponude se trebaju pripremiti na osnovu smjernica navedenih u gore navedenom odjeljku IV, zajedno s pravilno popunjenim i potpisanim obrascem za ponudu cijene, i poslati e-mailom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najkasnije do 04. februara 2025. u 23:59 sati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 sarajevskom vremenu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na slijedeću e-mail adresu: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12.0" w:type="dxa"/>
        <w:jc w:val="center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6" w:val="single"/>
          <w:insideV w:color="d9d9d9" w:space="0" w:sz="6" w:val="single"/>
        </w:tblBorders>
        <w:tblLayout w:type="fixed"/>
        <w:tblLook w:val="0400"/>
      </w:tblPr>
      <w:tblGrid>
        <w:gridCol w:w="5012"/>
        <w:tblGridChange w:id="0">
          <w:tblGrid>
            <w:gridCol w:w="50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Nabavka UNFPA BiH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jc w:val="both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bosnia-herzegovina.office@unfpa.org</w:t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Smjernice za elektronsko dostavljanje ponuda: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Referenca koja se mora upisati u predmet e-maila: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RFQ Nº UNFPA/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BIH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/RFQ/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/001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(službenik za javne nabavke može previdjeti ponude koje ne sadrže tačan naziv predmeta e-maila i stoga ih neće uzeti u obzir).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Ukupna veličina e-maila ne smije premašiti 20 MB (uključujući tekst u e-mailu, kodirane priloge i zaglavlja). Ako se tehnički detalji dostavljaju u velikim elektronskim fajlovima, preporučuje se da se pošalju zasebno prije isteka roka.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Svaka dostavljena ponuda smatrat će se ponudom ponuđača i ne predstavlja niti podrazumijeva prihvaćanje bilo koje ponude od UNFPA. UNFPA nema obavezu dodijeliti ugovor niti jednom ponuđaču u postupku prema ovom Zahtjevu za dostavljanje ponuda.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Postupak ocjene ponuda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Ponude će se ocjenjivati na temelju tehničke ponude i ukupne cijene proizvoda (ponuda cijene).</w:t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Ocjenu će provesti ad hoc komisija za ocjenjivanje ponuda u postupku kroz dva koraka. Tehničke ponude bit će ocijenjene u pogledu tehničke usklađenosti prije usporedbe pristiglih ponuda cijena.</w:t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Kriteriji dodjele ugovora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 slučaju zadovoljavajućeg rezultata postupka ocjene ponuda, UNFPA namjerava dodijeliti ugovor i dostaviti narudžbenicu ponuđaču/ponuđačima koji su ponudili najnižu cijenu i čija je ponuda tehnički prihvatljiva.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Pravo na promjenu uvjeta u vrijeme dodjele ugovora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zadržava pravo da u trenutku dodjele ugovora poveća ili smanji, do 20%, količinu robe navedene u ovom Zahtjevu za dostavljanje ponuda, bez ikakvih promjena u jediničnim cijenama i drugim uvjetima Zahtjeva.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Uvjeti plaćanja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Uvjet plaćanja UNFPA je neto 30 dana po primitku fakture i svake isporuke/prihvaćanja proizvoda u skladu sa plaćanjem određenim u ugovoru.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Prevara i korupcija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je predan sprečavanju, identificiranju i rješavanju svih prevara protiv UNFPA, kao i protiv trećih strana uključenih u aktivnosti UNFPA. Politika UNFPA u vezi s prevarama i korupcijom dostupna je ovdje: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Fraud Policy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Podnošenje prijedloga podrazumijeva da je ponuđač upoznat s ovom politikom.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Dobavljači, njihove podružnice, zastupnici, posrednici i principali moraju sarađivati s Uredom UNFPA za reviziju i istrage, kao i sa svim drugim nadzornim tijelima koja je ovlastio Izvršni direktor, kao i sa Savjetnikom za etiku pri UNFPA, prema potrebi. Takva saradnja uključuje, ali nije ograničena na sljedeće: pristup svim zaposlenima, predstavnicima, agentima i opunomoćenicima dobavljača, kao i izrada svih traženih dokumenata, uključujući financijsku evidenciju. Izostanak potpune saradnje u istrazi smatrat će se dovoljnom osnovom da se UNFPA odrekne ugovora i raskine ga i da isključi i ukloni dobavljača s liste registriranih dobavljača UNFPA.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color w:val="003366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Povjerljiva vruća linija za prijavu slučajeva prevare je dostupna svim ponuđačima, putem koje mogu prijaviti sumnjive prevarne aktivnosti: </w:t>
      </w:r>
      <w:hyperlink r:id="rId14">
        <w:r w:rsidDel="00000000" w:rsidR="00000000" w:rsidRPr="00000000">
          <w:rPr>
            <w:rFonts w:ascii="Calibri" w:cs="Calibri" w:eastAsia="Calibri" w:hAnsi="Calibri"/>
            <w:color w:val="003366"/>
            <w:sz w:val="22"/>
            <w:szCs w:val="22"/>
            <w:u w:val="single"/>
            <w:rtl w:val="0"/>
          </w:rPr>
          <w:t xml:space="preserve">UNFPA Investigation Hotline</w:t>
        </w:r>
      </w:hyperlink>
      <w:r w:rsidDel="00000000" w:rsidR="00000000" w:rsidRPr="00000000">
        <w:rPr>
          <w:rFonts w:ascii="Calibri" w:cs="Calibri" w:eastAsia="Calibri" w:hAnsi="Calibri"/>
          <w:color w:val="003366"/>
          <w:sz w:val="22"/>
          <w:szCs w:val="22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Nulta tolerancija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je usvojio politiku nulte tolerancije davanja i primanja poklona i gostoprimstva. Stoga se od dobavljača traži da ne šalju poklone niti nude gostoprimstvo osoblju UNFPA. Dodatne pojedinosti o ovoj politici dostupne su na: </w:t>
      </w:r>
      <w:hyperlink r:id="rId15">
        <w:r w:rsidDel="00000000" w:rsidR="00000000" w:rsidRPr="00000000">
          <w:rPr>
            <w:rFonts w:ascii="Calibri" w:cs="Calibri" w:eastAsia="Calibri" w:hAnsi="Calibri"/>
            <w:color w:val="003366"/>
            <w:sz w:val="22"/>
            <w:szCs w:val="22"/>
            <w:u w:val="single"/>
            <w:rtl w:val="0"/>
          </w:rPr>
          <w:t xml:space="preserve">Zero Tolerance Policy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Žalbe u vezi sa Zahtjevom za dostavljanje ponuda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Ponuđač/ponuđači koji smatraju da se prema njima nepravedno ili nepošteno postupalo u vezi sa Zahtjevom za dostavljanje ponuda, ocjenom ponuda ili dodjelom ugovora mogu podnijeti žalbu šefici Poslovne jedinice UNFPA, gđi Marini Riđić na: </w:t>
      </w:r>
      <w:hyperlink r:id="rId16">
        <w:r w:rsidDel="00000000" w:rsidR="00000000" w:rsidRPr="00000000">
          <w:rPr>
            <w:rFonts w:ascii="Calibri" w:cs="Calibri" w:eastAsia="Calibri" w:hAnsi="Calibri"/>
            <w:color w:val="003366"/>
            <w:sz w:val="22"/>
            <w:szCs w:val="22"/>
            <w:u w:val="single"/>
            <w:rtl w:val="0"/>
          </w:rPr>
          <w:t xml:space="preserve">ridjic@unfpa.org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Ako dobavljač nije zadovoljan odgovorom šeficom Poslovne jedinice UNFPA, on može kontaktirati šefa Odjela za upravljanje lancem snabdijevanja na: </w:t>
      </w:r>
      <w:hyperlink r:id="rId17">
        <w:r w:rsidDel="00000000" w:rsidR="00000000" w:rsidRPr="00000000">
          <w:rPr>
            <w:rFonts w:ascii="Calibri" w:cs="Calibri" w:eastAsia="Calibri" w:hAnsi="Calibri"/>
            <w:color w:val="003366"/>
            <w:sz w:val="22"/>
            <w:szCs w:val="22"/>
            <w:u w:val="single"/>
            <w:rtl w:val="0"/>
          </w:rPr>
          <w:t xml:space="preserve">procurement@unfpa.org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Odricanje odgovornosti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Ako je bilo koja od poveznica u ovom dokumentu Zahtjeva za dostavljanje ponuda nedostupna ili dokument/dokumenti ne postoje iz bilo kojeg razloga, ponuđači se mogu obratiti službeniku za javne nabavke u UNFPA i zatražiti verziju jednog ili više takvih dokumenta u PDF formatu.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OBRAZAC PONUDE CIJENE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22.0" w:type="dxa"/>
        <w:jc w:val="left"/>
        <w:tblInd w:w="-115.0" w:type="dxa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Layout w:type="fixed"/>
        <w:tblLook w:val="0400"/>
      </w:tblPr>
      <w:tblGrid>
        <w:gridCol w:w="3708"/>
        <w:gridCol w:w="4814"/>
        <w:tblGridChange w:id="0">
          <w:tblGrid>
            <w:gridCol w:w="3708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Naziv ponuđača: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ponude: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Zahtjev za dostavljanje ponuda br.: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UNFPA/</w:t>
            </w:r>
            <w:r w:rsidDel="00000000" w:rsidR="00000000" w:rsidRPr="00000000">
              <w:rPr>
                <w:rtl w:val="0"/>
              </w:rPr>
              <w:t xml:space="preserve">BIH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/RFQ/</w:t>
            </w: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 ponude: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BAM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bottom w:color="f2f2f2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Važenje ponude: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(Ponuda važi najmanje 6 mjeseci nakon isteka roka za dostavljanje ponuda)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Style w:val="Title"/>
        <w:jc w:val="left"/>
        <w:rPr>
          <w:rFonts w:ascii="Calibri" w:cs="Calibri" w:eastAsia="Calibri" w:hAnsi="Calibri"/>
          <w:b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Ponuđene cijene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 smiju uključivati bilo koji porez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budući da je UNFPA oslobođen obaveze plaćanja svih poreza.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Title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3240"/>
        <w:gridCol w:w="1230"/>
        <w:gridCol w:w="1230"/>
        <w:gridCol w:w="1080"/>
        <w:gridCol w:w="1095"/>
        <w:gridCol w:w="1365"/>
        <w:tblGridChange w:id="0">
          <w:tblGrid>
            <w:gridCol w:w="1110"/>
            <w:gridCol w:w="3240"/>
            <w:gridCol w:w="1230"/>
            <w:gridCol w:w="1230"/>
            <w:gridCol w:w="1080"/>
            <w:gridCol w:w="1095"/>
            <w:gridCol w:w="136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000080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Pozicija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80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color w:val="f2f2f2"/>
                <w:sz w:val="22"/>
                <w:szCs w:val="22"/>
              </w:rPr>
            </w:pPr>
            <w:r w:rsidDel="00000000" w:rsidR="00000000" w:rsidRPr="00000000">
              <w:rPr>
                <w:color w:val="f2f2f2"/>
                <w:rtl w:val="0"/>
              </w:rPr>
              <w:t xml:space="preserve">Opis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80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Mjerna jedinica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80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Jedinična cijena bez PDV</w:t>
            </w:r>
          </w:p>
        </w:tc>
        <w:tc>
          <w:tcPr>
            <w:tcBorders>
              <w:bottom w:color="000000" w:space="0" w:sz="4" w:val="single"/>
            </w:tcBorders>
            <w:shd w:fill="000080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Jedinična cijena sa PDV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80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Broj jedinica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80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Ukupno (BAM)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ddddd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righ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A">
            <w:pPr>
              <w:jc w:val="righ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UKUPAN ZBIR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BAM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208395" cy="70571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6090" y="343710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Komentar dobavljača: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208395" cy="705716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8395" cy="7057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2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Ovim potvrđujem da je gore navedeno preduzeće u ime i za račun kojeg sam propisno ovlašten potpisati ponudu, pregledalo Zahtjev za ponudu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RFQ UNFPA/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BIH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/RFQ/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001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uključujući sve priloge, izmjene i dopune Zahtjeva za dostavljanje ponuda (ako je primjenjivo), kao i odgovore koje je UNFPA dostavio na pitanja potencijalnih pružatelja usluga radi pojašnjenja. Nadalje, preduzeće prihvata Opće uvjete ugovaranja sa UNFPA, i izjavljujem da ćemo se pridržavati ove ponude sve do isteka njenog roka važenja.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tbl>
      <w:tblPr>
        <w:tblStyle w:val="Table5"/>
        <w:tblW w:w="9855.0" w:type="dxa"/>
        <w:jc w:val="left"/>
        <w:tblInd w:w="-115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4927"/>
        <w:gridCol w:w="2464"/>
        <w:gridCol w:w="2464"/>
        <w:tblGridChange w:id="0">
          <w:tblGrid>
            <w:gridCol w:w="4927"/>
            <w:gridCol w:w="2464"/>
            <w:gridCol w:w="24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Ime i prezime i funkcija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-180"/>
                <w:tab w:val="right" w:leader="none" w:pos="1980"/>
                <w:tab w:val="left" w:leader="none" w:pos="2160"/>
                <w:tab w:val="left" w:leader="none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Datum i mjesto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befor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IZJAVA</w:t>
      </w:r>
    </w:p>
    <w:p w:rsidR="00000000" w:rsidDel="00000000" w:rsidP="00000000" w:rsidRDefault="00000000" w:rsidRPr="00000000" w14:paraId="000000D1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Dole potpisani, kao zakonski ovlašteni predstavnik firme, izjavljuje i potvrđuje da:</w:t>
      </w:r>
    </w:p>
    <w:tbl>
      <w:tblPr>
        <w:tblStyle w:val="Table6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5685"/>
        <w:gridCol w:w="1170"/>
        <w:gridCol w:w="1080"/>
        <w:tblGridChange w:id="0">
          <w:tblGrid>
            <w:gridCol w:w="1110"/>
            <w:gridCol w:w="5685"/>
            <w:gridCol w:w="1170"/>
            <w:gridCol w:w="1080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ind w:left="72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    </w:t>
              <w:tab/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i njena uprava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nisu bili proglašeni krivima na osnovu pravosnažne presude ili pravosnažne administrativne odluke za bilo kojeg od sljedećih djela: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Prevara;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13"/>
              </w:numPr>
              <w:spacing w:after="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Korupcija;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povezanost s kriminalnom organizacijom;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4"/>
              </w:numPr>
              <w:spacing w:after="2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pranje novca ili finansiranje terorizma;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4"/>
              </w:numPr>
              <w:spacing w:after="2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teroristički prekršaji ili prekršaji povezani s terorističkim aktivnostima;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spacing w:after="2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seksualna eksploatacija i zlostavljanje;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dječiji rad, prisilni rad, trgovina ljudima; 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numPr>
                <w:ilvl w:val="0"/>
                <w:numId w:val="11"/>
              </w:numPr>
              <w:spacing w:after="24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bilo koja druga neusklađenost (nepoštivanje bilo kojeg pravnog ili regulatornog okvira koji se primjenjuje na firmu ili njeno rukovođenje)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ind w:left="72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i njena uprava nisu proglašeni krivim po pravosnažnoj presudi ili pravosnažnoj administrativnoj odluci za teški privredni prekršaj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ind w:left="72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i njena uprava nisu: u stečaju, predmet postupka likvidacije, pod upravom imovine od strane likvidatora ili suda, u aranžmanu s povjeriocima, podložni zakonskoj suspenziji poslovnih aktivnosti, niti u bilo kojoj situaciji koja proizlazi iz sličnog postupka predviđenog važećim nacionalnim zakonom.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Rule="auto"/>
              <w:ind w:left="72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i njena uprava nisu bili predmet pravosnažne presude ili pravosnažne administrativne odluke kojom je utvrđeno da su prekršili svoje obaveze u vezi sa plaćanjem poreza ili doprinosa.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Rule="auto"/>
              <w:ind w:left="72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5.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i njena uprava  nisu bili predmet pravosnažne presude ili konačne administrativne odluke u kojoj je utvrđeno da su osnovali entitet u drugoj jurisdikciji s namjerom da zaobiđu fiskalne, socijalne ili bilo koje druge zakonske obaveze u nadležnosti njenog sjedišta, centralne uprave ili osnovnog mjesta poslovanja (otvaranje fiktivne kompanije).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Rule="auto"/>
              <w:ind w:left="72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6.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i njena uprava nisu bili predmet pravosnažne presude ili pravosnažne administrativne odluke kojom je utvrđeno da je firma osnovana sa namjerom iz tačke (5) (da bude fiktivna kompanija).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10A">
      <w:pPr>
        <w:spacing w:after="240" w:befor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UNFPA zadržava pravo da diskvalifikuje firmu, suspenduje ili raskine bilo koji ugovor ili drugi aranžman između UNFPA i firme, sa trenutnim dejstvom i bez odgovornosti, u slučaju bilo kakvog lažnog predstavljanja firme u ovoj Izjavi. </w:t>
      </w:r>
    </w:p>
    <w:p w:rsidR="00000000" w:rsidDel="00000000" w:rsidP="00000000" w:rsidRDefault="00000000" w:rsidRPr="00000000" w14:paraId="0000010C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Odgovornost firme je da odmah obavijesti UNFPA o svim promjenama u gore navedenim situacijama. </w:t>
      </w:r>
    </w:p>
    <w:p w:rsidR="00000000" w:rsidDel="00000000" w:rsidP="00000000" w:rsidRDefault="00000000" w:rsidRPr="00000000" w14:paraId="0000010D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Ova Izjava je dodatak, i ne zamjenjuje ili poništava, niti djeluje kao odricanje od bilo kojih uslova ugovornih aranžmana između UNFPA i firme.</w:t>
      </w:r>
    </w:p>
    <w:tbl>
      <w:tblPr>
        <w:tblStyle w:val="Table7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6120"/>
        <w:tblGridChange w:id="0">
          <w:tblGrid>
            <w:gridCol w:w="2760"/>
            <w:gridCol w:w="6120"/>
          </w:tblGrid>
        </w:tblGridChange>
      </w:tblGrid>
      <w:tr>
        <w:trPr>
          <w:cantSplit w:val="0"/>
          <w:trHeight w:val="1149.21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Potpis: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554687499999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Datum: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Ime i pozicija: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Ime firme: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UNGM broj (ako ima):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Poštanska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after="240" w:befor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40" w:before="24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22">
      <w:pPr>
        <w:spacing w:after="240" w:before="24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23">
      <w:pPr>
        <w:spacing w:after="240" w:before="24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2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DODATAK II:</w:t>
      </w:r>
    </w:p>
    <w:p w:rsidR="00000000" w:rsidDel="00000000" w:rsidP="00000000" w:rsidRDefault="00000000" w:rsidRPr="00000000" w14:paraId="0000012C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Opći uvjeti ugovaranja:</w:t>
      </w:r>
    </w:p>
    <w:p w:rsidR="00000000" w:rsidDel="00000000" w:rsidP="00000000" w:rsidRDefault="00000000" w:rsidRPr="00000000" w14:paraId="0000012D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 Minimis ugovori</w:t>
      </w:r>
    </w:p>
    <w:p w:rsidR="00000000" w:rsidDel="00000000" w:rsidP="00000000" w:rsidRDefault="00000000" w:rsidRPr="00000000" w14:paraId="0000012E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70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leader="none" w:pos="702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Ovaj Zahtjev za dostavljanje ponuda podliježe Općim uvjetima ugovaranja UNFPA: De Minimis ugovori, koji su dostupni na: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engleskom,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španskom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francuskom.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leader="none" w:pos="7020"/>
        </w:tabs>
        <w:rPr>
          <w:rFonts w:ascii="Calibri" w:cs="Calibri" w:eastAsia="Calibri" w:hAnsi="Calibri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leader="none" w:pos="70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footerReference r:id="rId24" w:type="even"/>
      <w:pgSz w:h="16838" w:w="11906" w:orient="portrait"/>
      <w:pgMar w:bottom="720" w:top="720" w:left="993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720"/>
      </w:tabs>
      <w:spacing w:line="230" w:lineRule="auto"/>
      <w:ind w:right="360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hyperlink r:id="rId1">
        <w:r w:rsidDel="00000000" w:rsidR="00000000" w:rsidRPr="00000000">
          <w:rPr>
            <w:rFonts w:ascii="Calibri" w:cs="Calibri" w:eastAsia="Calibri" w:hAnsi="Calibri"/>
            <w:color w:val="003366"/>
            <w:u w:val="single"/>
            <w:rtl w:val="0"/>
          </w:rPr>
          <w:t xml:space="preserve">http://www.timeanddate.com/worldclock/city.html?n=69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</w:p>
  </w:footnote>
  <w:footnote w:id="1"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“Uprava” znači svako lice koje ima ovlaštenja za zastupanje, donošenje odluka ili kontrolu nad organizacijom. Ovo može uključivati, na primjer, izvršno rukovodstvo i sve druge osobe koje imaju upravljačka ovlaštenja, bilo koga u odboru direktora i kontrolne dioničare.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tbl>
    <w:tblPr>
      <w:tblStyle w:val="Table8"/>
      <w:tblW w:w="9990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95"/>
      <w:gridCol w:w="4995"/>
      <w:tblGridChange w:id="0">
        <w:tblGrid>
          <w:gridCol w:w="4995"/>
          <w:gridCol w:w="4995"/>
        </w:tblGrid>
      </w:tblGridChange>
    </w:tblGrid>
    <w:tr>
      <w:trPr>
        <w:cantSplit w:val="0"/>
        <w:trHeight w:val="1142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rPr>
              <w:rFonts w:ascii="Times" w:cs="Times" w:eastAsia="Times" w:hAnsi="Times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24"/>
              <w:szCs w:val="24"/>
            </w:rPr>
            <w:drawing>
              <wp:inline distB="0" distT="0" distL="0" distR="0">
                <wp:extent cx="971550" cy="457200"/>
                <wp:effectExtent b="0" l="0" r="0" t="0"/>
                <wp:docPr descr="clouored%20logo" id="2" name="image1.png"/>
                <a:graphic>
                  <a:graphicData uri="http://schemas.openxmlformats.org/drawingml/2006/picture">
                    <pic:pic>
                      <pic:nvPicPr>
                        <pic:cNvPr descr="clouored%20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37">
          <w:pPr>
            <w:tabs>
              <w:tab w:val="center" w:leader="none" w:pos="4320"/>
              <w:tab w:val="right" w:leader="none" w:pos="8640"/>
            </w:tabs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United Nations Population Fund</w:t>
          </w:r>
        </w:p>
        <w:p w:rsidR="00000000" w:rsidDel="00000000" w:rsidP="00000000" w:rsidRDefault="00000000" w:rsidRPr="00000000" w14:paraId="00000138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Zmaja od Bosne bb</w:t>
          </w:r>
        </w:p>
        <w:p w:rsidR="00000000" w:rsidDel="00000000" w:rsidP="00000000" w:rsidRDefault="00000000" w:rsidRPr="00000000" w14:paraId="00000139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Sarajevo, Bosnia and Herzegovina</w:t>
            <w:br w:type="textWrapping"/>
            <w:t xml:space="preserve">E-mail: </w:t>
          </w:r>
          <w:hyperlink r:id="rId2">
            <w:r w:rsidDel="00000000" w:rsidR="00000000" w:rsidRPr="00000000">
              <w:rPr>
                <w:color w:val="003366"/>
                <w:sz w:val="18"/>
                <w:szCs w:val="18"/>
                <w:u w:val="single"/>
                <w:rtl w:val="0"/>
              </w:rPr>
              <w:t xml:space="preserve">bosnia-herzegovina.office@unfpa.org</w:t>
            </w:r>
          </w:hyperlink>
          <w:r w:rsidDel="00000000" w:rsidR="00000000" w:rsidRPr="00000000">
            <w:rPr>
              <w:sz w:val="18"/>
              <w:szCs w:val="18"/>
              <w:rtl w:val="0"/>
            </w:rPr>
            <w:t xml:space="preserve">  </w:t>
          </w:r>
        </w:p>
        <w:p w:rsidR="00000000" w:rsidDel="00000000" w:rsidP="00000000" w:rsidRDefault="00000000" w:rsidRPr="00000000" w14:paraId="0000013A">
          <w:pPr>
            <w:tabs>
              <w:tab w:val="center" w:leader="none" w:pos="4320"/>
              <w:tab w:val="right" w:leader="none" w:pos="8640"/>
            </w:tabs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Website: ba.unfpa.org</w:t>
          </w:r>
        </w:p>
      </w:tc>
    </w:tr>
  </w:tbl>
  <w:p w:rsidR="00000000" w:rsidDel="00000000" w:rsidP="00000000" w:rsidRDefault="00000000" w:rsidRPr="00000000" w14:paraId="000001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Times" w:cs="Times" w:eastAsia="Times" w:hAnsi="Times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Times" w:cs="Times" w:eastAsia="Times" w:hAnsi="Times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Roman"/>
      <w:lvlText w:val="%1."/>
      <w:lvlJc w:val="right"/>
      <w:pPr>
        <w:ind w:left="36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4"/>
      <w:numFmt w:val="upperRoman"/>
      <w:lvlText w:val="%1."/>
      <w:lvlJc w:val="right"/>
      <w:pPr>
        <w:ind w:left="36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-180"/>
        <w:tab w:val="right" w:leader="none" w:pos="1980"/>
        <w:tab w:val="left" w:leader="none" w:pos="2160"/>
        <w:tab w:val="left" w:leader="none" w:pos="4320"/>
      </w:tabs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unfpa.org/sites/default/files/resource-pdf/UNFPA%20General%20Conditions%20-%20De%20Minimis%20Contracts%20SP_0.pdf" TargetMode="External"/><Relationship Id="rId11" Type="http://schemas.openxmlformats.org/officeDocument/2006/relationships/hyperlink" Target="http://www.un.org/Depts/ptd/pdf/conduct_english.pdf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worldbank.org/en/about/corporate-procurement/business-opportunities/non-responsible-vendors" TargetMode="External"/><Relationship Id="rId21" Type="http://schemas.openxmlformats.org/officeDocument/2006/relationships/hyperlink" Target="http://www.unfpa.org/sites/default/files/resource-pdf/UNFPA%20General%20Conditions%20-%20De%20Minimis%20Contracts%20FR_0.pdf" TargetMode="External"/><Relationship Id="rId13" Type="http://schemas.openxmlformats.org/officeDocument/2006/relationships/hyperlink" Target="https://www.unfpa.org/sites/default/files/admin-resource/Eths_Fraud_policy.pdf" TargetMode="External"/><Relationship Id="rId24" Type="http://schemas.openxmlformats.org/officeDocument/2006/relationships/footer" Target="footer2.xml"/><Relationship Id="rId12" Type="http://schemas.openxmlformats.org/officeDocument/2006/relationships/hyperlink" Target="http://www.un.org/Depts/ptd/pdf/conduct_english.pdf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gm.org/" TargetMode="External"/><Relationship Id="rId15" Type="http://schemas.openxmlformats.org/officeDocument/2006/relationships/hyperlink" Target="http://www.unfpa.org/about-procurement#ZeroTolerance" TargetMode="External"/><Relationship Id="rId14" Type="http://schemas.openxmlformats.org/officeDocument/2006/relationships/hyperlink" Target="http://web2.unfpa.org/help/hotline.cfm" TargetMode="External"/><Relationship Id="rId17" Type="http://schemas.openxmlformats.org/officeDocument/2006/relationships/hyperlink" Target="mailto:procurement@unfpa.org" TargetMode="External"/><Relationship Id="rId16" Type="http://schemas.openxmlformats.org/officeDocument/2006/relationships/hyperlink" Target="mailto:ridjic@unfpa.org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unfpa.org/resources/unfpa-general-conditions-de-minimis-contracts" TargetMode="External"/><Relationship Id="rId6" Type="http://schemas.openxmlformats.org/officeDocument/2006/relationships/styles" Target="styles.xml"/><Relationship Id="rId18" Type="http://schemas.openxmlformats.org/officeDocument/2006/relationships/image" Target="media/image2.png"/><Relationship Id="rId7" Type="http://schemas.openxmlformats.org/officeDocument/2006/relationships/hyperlink" Target="http://www.unfpa.org/about-us" TargetMode="External"/><Relationship Id="rId8" Type="http://schemas.openxmlformats.org/officeDocument/2006/relationships/hyperlink" Target="https://www.un.org/securitycouncil/content/un-sc-consolidated-lis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timeanddate.com/worldclock/city.html?n=6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osnia-herzegovina.office@u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